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76E8" w:rsidRPr="00D15774" w:rsidRDefault="003363A3" w:rsidP="00155D40">
      <w:pPr>
        <w:pStyle w:val="Title"/>
        <w:spacing w:before="120" w:after="180"/>
        <w:rPr>
          <w:rFonts w:asciiTheme="majorHAnsi" w:hAnsiTheme="majorHAnsi"/>
          <w:b w:val="0"/>
          <w:color w:val="800000"/>
          <w:sz w:val="28"/>
          <w14:ligatures w14:val="standard"/>
          <w14:numForm w14:val="oldStyle"/>
        </w:rPr>
      </w:pPr>
      <w:r w:rsidRPr="00D15774">
        <w:rPr>
          <w:rFonts w:asciiTheme="majorHAnsi" w:hAnsiTheme="majorHAnsi"/>
          <w:b w:val="0"/>
          <w:color w:val="800000"/>
          <w:sz w:val="28"/>
          <w14:ligatures w14:val="standard"/>
          <w14:numForm w14:val="oldStyle"/>
        </w:rPr>
        <w:t xml:space="preserve">KING </w:t>
      </w:r>
      <w:proofErr w:type="gramStart"/>
      <w:r w:rsidRPr="00D15774">
        <w:rPr>
          <w:rFonts w:asciiTheme="majorHAnsi" w:hAnsiTheme="majorHAnsi"/>
          <w:b w:val="0"/>
          <w:color w:val="800000"/>
          <w:sz w:val="28"/>
          <w14:ligatures w14:val="standard"/>
          <w14:numForm w14:val="oldStyle"/>
        </w:rPr>
        <w:t>LE</w:t>
      </w:r>
      <w:r w:rsidR="00F85CBE" w:rsidRPr="00D15774">
        <w:rPr>
          <w:rFonts w:asciiTheme="majorHAnsi" w:hAnsiTheme="majorHAnsi"/>
          <w:b w:val="0"/>
          <w:color w:val="800000"/>
          <w:sz w:val="28"/>
          <w14:ligatures w14:val="standard"/>
          <w14:numForm w14:val="oldStyle"/>
        </w:rPr>
        <w:t>A</w:t>
      </w:r>
      <w:r w:rsidRPr="00D15774">
        <w:rPr>
          <w:rFonts w:asciiTheme="majorHAnsi" w:hAnsiTheme="majorHAnsi"/>
          <w:b w:val="0"/>
          <w:color w:val="800000"/>
          <w:sz w:val="28"/>
          <w14:ligatures w14:val="standard"/>
          <w14:numForm w14:val="oldStyle"/>
        </w:rPr>
        <w:t xml:space="preserve">R  </w:t>
      </w:r>
      <w:r w:rsidR="002D76E8" w:rsidRPr="00D15774">
        <w:rPr>
          <w:rFonts w:asciiTheme="majorHAnsi" w:hAnsiTheme="majorHAnsi"/>
          <w:b w:val="0"/>
          <w:color w:val="800000"/>
          <w:sz w:val="28"/>
          <w14:ligatures w14:val="standard"/>
          <w14:numForm w14:val="oldStyle"/>
        </w:rPr>
        <w:t>1.1</w:t>
      </w:r>
      <w:proofErr w:type="gramEnd"/>
      <w:r w:rsidR="00327807" w:rsidRPr="00D15774">
        <w:rPr>
          <w:rFonts w:asciiTheme="majorHAnsi" w:hAnsiTheme="majorHAnsi"/>
          <w:b w:val="0"/>
          <w:color w:val="800000"/>
          <w:sz w:val="28"/>
          <w14:ligatures w14:val="standard"/>
          <w14:numForm w14:val="oldStyle"/>
        </w:rPr>
        <w:t xml:space="preserve">:  </w:t>
      </w:r>
      <w:r w:rsidR="009E6115" w:rsidRPr="00D15774">
        <w:rPr>
          <w:rFonts w:asciiTheme="majorHAnsi" w:hAnsiTheme="majorHAnsi"/>
          <w:b w:val="0"/>
          <w:color w:val="800000"/>
          <w:sz w:val="28"/>
          <w14:ligatures w14:val="standard"/>
          <w14:numForm w14:val="oldStyle"/>
        </w:rPr>
        <w:t>Teaching Notes</w:t>
      </w:r>
    </w:p>
    <w:p w:rsidR="00327807" w:rsidRPr="00D15774" w:rsidRDefault="00327807" w:rsidP="00155D40">
      <w:pPr>
        <w:pStyle w:val="ListParagraph"/>
        <w:spacing w:before="120" w:after="180"/>
        <w:ind w:left="0" w:firstLine="288"/>
        <w:rPr>
          <w:rFonts w:asciiTheme="majorHAnsi" w:hAnsiTheme="majorHAnsi"/>
          <w14:ligatures w14:val="standard"/>
          <w14:numForm w14:val="oldStyle"/>
        </w:rPr>
        <w:sectPr w:rsidR="00327807" w:rsidRPr="00D15774" w:rsidSect="00327807">
          <w:pgSz w:w="12240" w:h="15840"/>
          <w:pgMar w:top="720" w:right="720" w:bottom="1080" w:left="1080" w:header="720" w:footer="720" w:gutter="0"/>
          <w:pgNumType w:start="1"/>
          <w:cols w:space="720"/>
          <w:titlePg/>
          <w:docGrid w:linePitch="381"/>
        </w:sectPr>
      </w:pPr>
    </w:p>
    <w:p w:rsidR="00D62B0E" w:rsidRPr="00D15774" w:rsidRDefault="00D62B0E" w:rsidP="00327807">
      <w:pPr>
        <w:pStyle w:val="ListParagraph"/>
        <w:ind w:left="0" w:firstLine="288"/>
        <w:rPr>
          <w:rFonts w:asciiTheme="majorHAnsi" w:hAnsiTheme="majorHAnsi"/>
          <w:sz w:val="21"/>
          <w:szCs w:val="21"/>
          <w14:ligatures w14:val="standard"/>
          <w14:numForm w14:val="oldStyle"/>
        </w:rPr>
      </w:pPr>
      <w:r w:rsidRPr="00D15774">
        <w:rPr>
          <w:rFonts w:asciiTheme="majorHAnsi" w:hAnsiTheme="majorHAnsi"/>
          <w:sz w:val="21"/>
          <w:szCs w:val="21"/>
          <w14:ligatures w14:val="standard"/>
          <w14:numForm w14:val="oldStyle"/>
        </w:rPr>
        <w:lastRenderedPageBreak/>
        <w:t>The lists and tables here are intended to help an instructor see more quickly</w:t>
      </w:r>
      <w:r w:rsidR="003E7267" w:rsidRPr="00D15774">
        <w:rPr>
          <w:rFonts w:asciiTheme="majorHAnsi" w:hAnsiTheme="majorHAnsi"/>
          <w:sz w:val="21"/>
          <w:szCs w:val="21"/>
          <w14:ligatures w14:val="standard"/>
          <w14:numForm w14:val="oldStyle"/>
        </w:rPr>
        <w:t xml:space="preserve"> some of the </w:t>
      </w:r>
      <w:r w:rsidR="009E6115" w:rsidRPr="00D15774">
        <w:rPr>
          <w:rFonts w:asciiTheme="majorHAnsi" w:hAnsiTheme="majorHAnsi"/>
          <w:sz w:val="21"/>
          <w:szCs w:val="21"/>
          <w14:ligatures w14:val="standard"/>
          <w14:numForm w14:val="oldStyle"/>
        </w:rPr>
        <w:t xml:space="preserve">textual </w:t>
      </w:r>
      <w:r w:rsidRPr="00D15774">
        <w:rPr>
          <w:rFonts w:asciiTheme="majorHAnsi" w:hAnsiTheme="majorHAnsi"/>
          <w:sz w:val="21"/>
          <w:szCs w:val="21"/>
          <w14:ligatures w14:val="standard"/>
          <w14:numForm w14:val="oldStyle"/>
        </w:rPr>
        <w:t xml:space="preserve">elements </w:t>
      </w:r>
      <w:r w:rsidR="003E7267" w:rsidRPr="00D15774">
        <w:rPr>
          <w:rFonts w:asciiTheme="majorHAnsi" w:hAnsiTheme="majorHAnsi"/>
          <w:sz w:val="21"/>
          <w:szCs w:val="21"/>
          <w14:ligatures w14:val="standard"/>
          <w14:numForm w14:val="oldStyle"/>
        </w:rPr>
        <w:t xml:space="preserve">worth exploring in </w:t>
      </w:r>
      <w:r w:rsidRPr="00D15774">
        <w:rPr>
          <w:rFonts w:asciiTheme="majorHAnsi" w:hAnsiTheme="majorHAnsi"/>
          <w:sz w:val="21"/>
          <w:szCs w:val="21"/>
          <w14:ligatures w14:val="standard"/>
          <w14:numForm w14:val="oldStyle"/>
        </w:rPr>
        <w:t xml:space="preserve">the opening scene of </w:t>
      </w:r>
      <w:r w:rsidRPr="00D15774">
        <w:rPr>
          <w:rFonts w:asciiTheme="majorHAnsi" w:hAnsiTheme="majorHAnsi"/>
          <w:i/>
          <w:sz w:val="21"/>
          <w:szCs w:val="21"/>
          <w14:ligatures w14:val="standard"/>
          <w14:numForm w14:val="oldStyle"/>
        </w:rPr>
        <w:t>King Lear</w:t>
      </w:r>
      <w:r w:rsidR="003E7267" w:rsidRPr="00D15774">
        <w:rPr>
          <w:rFonts w:asciiTheme="majorHAnsi" w:hAnsiTheme="majorHAnsi"/>
          <w:sz w:val="21"/>
          <w:szCs w:val="21"/>
          <w14:ligatures w14:val="standard"/>
          <w14:numForm w14:val="oldStyle"/>
        </w:rPr>
        <w:t>. Text and performance considerations necessarily wait on each other. But, as Professor Miriam Gilbert of the University of Iowa points out, questions about the text come first, then questions about performance.</w:t>
      </w:r>
      <w:r w:rsidR="003E7267" w:rsidRPr="00D15774">
        <w:rPr>
          <w:rStyle w:val="FootnoteReference"/>
          <w:rFonts w:asciiTheme="majorHAnsi" w:hAnsiTheme="majorHAnsi"/>
          <w:sz w:val="21"/>
          <w:szCs w:val="21"/>
          <w14:ligatures w14:val="standard"/>
          <w14:numForm w14:val="oldStyle"/>
        </w:rPr>
        <w:footnoteReference w:id="1"/>
      </w:r>
    </w:p>
    <w:p w:rsidR="006A7A6D" w:rsidRPr="00D15774" w:rsidRDefault="006A7A6D" w:rsidP="00327807">
      <w:pPr>
        <w:pStyle w:val="ListParagraph"/>
        <w:ind w:left="0" w:firstLine="288"/>
        <w:rPr>
          <w:rFonts w:asciiTheme="majorHAnsi" w:hAnsiTheme="majorHAnsi"/>
          <w:sz w:val="21"/>
          <w:szCs w:val="21"/>
          <w14:ligatures w14:val="standard"/>
          <w14:numForm w14:val="oldStyle"/>
        </w:rPr>
      </w:pPr>
      <w:r w:rsidRPr="00D15774">
        <w:rPr>
          <w:rFonts w:asciiTheme="majorHAnsi" w:hAnsiTheme="majorHAnsi"/>
          <w:sz w:val="21"/>
          <w:szCs w:val="21"/>
          <w14:ligatures w14:val="standard"/>
          <w14:numForm w14:val="oldStyle"/>
        </w:rPr>
        <w:t xml:space="preserve">The vocabulary list divides words, somewhat arbitrarily, into three categories. The first is made up of </w:t>
      </w:r>
      <w:r w:rsidR="000B1963" w:rsidRPr="00D15774">
        <w:rPr>
          <w:rFonts w:asciiTheme="majorHAnsi" w:hAnsiTheme="majorHAnsi"/>
          <w:sz w:val="21"/>
          <w:szCs w:val="21"/>
          <w14:ligatures w14:val="standard"/>
          <w14:numForm w14:val="oldStyle"/>
        </w:rPr>
        <w:t>some</w:t>
      </w:r>
      <w:r w:rsidRPr="00D15774">
        <w:rPr>
          <w:rFonts w:asciiTheme="majorHAnsi" w:hAnsiTheme="majorHAnsi"/>
          <w:sz w:val="21"/>
          <w:szCs w:val="21"/>
          <w14:ligatures w14:val="standard"/>
          <w14:numForm w14:val="oldStyle"/>
        </w:rPr>
        <w:t xml:space="preserve"> that many students might see as obsolete but that in fact appear in the contemporary, though often formal, writing of educated speakers of English. The second consists of words now obsolete; these are glossed in most editions of the play. The third contains the dangerous words, those most students know but not with the meaning they have in the text. ‘Appear,’ for example, in Gloucester’s comment that “it appears not which of the Dukes he values most,” </w:t>
      </w:r>
      <w:r w:rsidR="00AE5CE0" w:rsidRPr="00D15774">
        <w:rPr>
          <w:rFonts w:asciiTheme="majorHAnsi" w:hAnsiTheme="majorHAnsi"/>
          <w:sz w:val="21"/>
          <w:szCs w:val="21"/>
          <w14:ligatures w14:val="standard"/>
          <w14:numForm w14:val="oldStyle"/>
        </w:rPr>
        <w:t xml:space="preserve">(4) </w:t>
      </w:r>
      <w:r w:rsidRPr="00D15774">
        <w:rPr>
          <w:rFonts w:asciiTheme="majorHAnsi" w:hAnsiTheme="majorHAnsi"/>
          <w:sz w:val="21"/>
          <w:szCs w:val="21"/>
          <w14:ligatures w14:val="standard"/>
          <w14:numForm w14:val="oldStyle"/>
        </w:rPr>
        <w:t xml:space="preserve">has the now lost meaning of ‘to be apparent, clear, or obvious.’ </w:t>
      </w:r>
      <w:r w:rsidR="000B1963" w:rsidRPr="00D15774">
        <w:rPr>
          <w:rFonts w:asciiTheme="majorHAnsi" w:hAnsiTheme="majorHAnsi"/>
          <w:sz w:val="21"/>
          <w:szCs w:val="21"/>
          <w14:ligatures w14:val="standard"/>
          <w14:numForm w14:val="oldStyle"/>
        </w:rPr>
        <w:t>Often the</w:t>
      </w:r>
      <w:r w:rsidRPr="00D15774">
        <w:rPr>
          <w:rFonts w:asciiTheme="majorHAnsi" w:hAnsiTheme="majorHAnsi"/>
          <w:sz w:val="21"/>
          <w:szCs w:val="21"/>
          <w14:ligatures w14:val="standard"/>
          <w14:numForm w14:val="oldStyle"/>
        </w:rPr>
        <w:t xml:space="preserve"> combination of context and cognates will help, as with Lear’s “To thee and thine hereditary </w:t>
      </w:r>
      <w:r w:rsidR="000B1963" w:rsidRPr="00D15774">
        <w:rPr>
          <w:rFonts w:asciiTheme="majorHAnsi" w:hAnsiTheme="majorHAnsi"/>
          <w:sz w:val="21"/>
          <w:szCs w:val="21"/>
          <w14:ligatures w14:val="standard"/>
          <w14:numForm w14:val="oldStyle"/>
        </w:rPr>
        <w:t xml:space="preserve">ever / Remain this ample third of our fair kingdom….” </w:t>
      </w:r>
      <w:r w:rsidR="00AE5CE0" w:rsidRPr="00D15774">
        <w:rPr>
          <w:rFonts w:asciiTheme="majorHAnsi" w:hAnsiTheme="majorHAnsi"/>
          <w:sz w:val="21"/>
          <w:szCs w:val="21"/>
          <w14:ligatures w14:val="standard"/>
          <w14:numForm w14:val="oldStyle"/>
        </w:rPr>
        <w:t xml:space="preserve">(76-77) </w:t>
      </w:r>
      <w:proofErr w:type="gramStart"/>
      <w:r w:rsidR="000B1963" w:rsidRPr="00D15774">
        <w:rPr>
          <w:rFonts w:asciiTheme="majorHAnsi" w:hAnsiTheme="majorHAnsi"/>
          <w:sz w:val="21"/>
          <w:szCs w:val="21"/>
          <w14:ligatures w14:val="standard"/>
          <w14:numForm w14:val="oldStyle"/>
        </w:rPr>
        <w:t>The</w:t>
      </w:r>
      <w:proofErr w:type="gramEnd"/>
      <w:r w:rsidR="000B1963" w:rsidRPr="00D15774">
        <w:rPr>
          <w:rFonts w:asciiTheme="majorHAnsi" w:hAnsiTheme="majorHAnsi"/>
          <w:sz w:val="21"/>
          <w:szCs w:val="21"/>
          <w14:ligatures w14:val="standard"/>
          <w14:numForm w14:val="oldStyle"/>
        </w:rPr>
        <w:t xml:space="preserve"> word ‘hereditary’ appears to be our modern adjective, but the context makes it clear that Lear uses it here as a noun. The word’s lexical associations should help a reader recognize that it stands where we would use the noun ‘heirs.’ For many, though, a modern ear will have to rely on an understanding of character, theme, and tone to discern a problem. Reading </w:t>
      </w:r>
      <w:r w:rsidR="00AE5CE0" w:rsidRPr="00D15774">
        <w:rPr>
          <w:rFonts w:asciiTheme="majorHAnsi" w:hAnsiTheme="majorHAnsi"/>
          <w:sz w:val="21"/>
          <w:szCs w:val="21"/>
          <w14:ligatures w14:val="standard"/>
          <w14:numForm w14:val="oldStyle"/>
        </w:rPr>
        <w:t xml:space="preserve">‘sometime’ in </w:t>
      </w:r>
      <w:r w:rsidR="000B1963" w:rsidRPr="00D15774">
        <w:rPr>
          <w:rFonts w:asciiTheme="majorHAnsi" w:hAnsiTheme="majorHAnsi"/>
          <w:sz w:val="21"/>
          <w:szCs w:val="21"/>
          <w14:ligatures w14:val="standard"/>
          <w14:numForm w14:val="oldStyle"/>
        </w:rPr>
        <w:t xml:space="preserve">Lear’s calling Cordelia “my sometime daughter” </w:t>
      </w:r>
      <w:r w:rsidR="00AE5CE0" w:rsidRPr="00D15774">
        <w:rPr>
          <w:rFonts w:asciiTheme="majorHAnsi" w:hAnsiTheme="majorHAnsi"/>
          <w:sz w:val="21"/>
          <w:szCs w:val="21"/>
          <w14:ligatures w14:val="standard"/>
          <w14:numForm w14:val="oldStyle"/>
        </w:rPr>
        <w:t>(117) with the sense of occasional or on-and-off does damage to the line that Shakespeare intends as an abrupt renunciation, the culmination of a rejection so strong that it prompts Kent’s first cry of protest.</w:t>
      </w:r>
    </w:p>
    <w:p w:rsidR="00937304" w:rsidRPr="00D15774" w:rsidRDefault="00AE5CE0" w:rsidP="00327807">
      <w:pPr>
        <w:pStyle w:val="ListParagraph"/>
        <w:ind w:left="0" w:firstLine="288"/>
        <w:rPr>
          <w:rFonts w:asciiTheme="majorHAnsi" w:hAnsiTheme="majorHAnsi"/>
          <w:sz w:val="21"/>
          <w:szCs w:val="21"/>
          <w14:ligatures w14:val="standard"/>
          <w14:numForm w14:val="oldStyle"/>
        </w:rPr>
      </w:pPr>
      <w:r w:rsidRPr="00D15774">
        <w:rPr>
          <w:rFonts w:asciiTheme="majorHAnsi" w:hAnsiTheme="majorHAnsi"/>
          <w:sz w:val="21"/>
          <w:szCs w:val="21"/>
          <w14:ligatures w14:val="standard"/>
          <w14:numForm w14:val="oldStyle"/>
        </w:rPr>
        <w:t xml:space="preserve">The play’s opening scene provides examples of the use of the ‘thou/thee’ forms that reward investigation. Lear uses ‘thee’ </w:t>
      </w:r>
      <w:r w:rsidR="00937304" w:rsidRPr="00D15774">
        <w:rPr>
          <w:rFonts w:asciiTheme="majorHAnsi" w:hAnsiTheme="majorHAnsi"/>
          <w:sz w:val="21"/>
          <w:szCs w:val="21"/>
          <w14:ligatures w14:val="standard"/>
          <w14:numForm w14:val="oldStyle"/>
        </w:rPr>
        <w:t xml:space="preserve">throughout </w:t>
      </w:r>
      <w:r w:rsidRPr="00D15774">
        <w:rPr>
          <w:rFonts w:asciiTheme="majorHAnsi" w:hAnsiTheme="majorHAnsi"/>
          <w:sz w:val="21"/>
          <w:szCs w:val="21"/>
          <w14:ligatures w14:val="standard"/>
          <w14:numForm w14:val="oldStyle"/>
        </w:rPr>
        <w:t>to pull Goneril and Regan emotionally closer to himself</w:t>
      </w:r>
      <w:r w:rsidR="00937304" w:rsidRPr="00D15774">
        <w:rPr>
          <w:rFonts w:asciiTheme="majorHAnsi" w:hAnsiTheme="majorHAnsi"/>
          <w:sz w:val="21"/>
          <w:szCs w:val="21"/>
          <w14:ligatures w14:val="standard"/>
          <w14:numForm w14:val="oldStyle"/>
        </w:rPr>
        <w:t xml:space="preserve">. </w:t>
      </w:r>
      <w:r w:rsidRPr="00D15774">
        <w:rPr>
          <w:rFonts w:asciiTheme="majorHAnsi" w:hAnsiTheme="majorHAnsi"/>
          <w:sz w:val="21"/>
          <w:szCs w:val="21"/>
          <w14:ligatures w14:val="standard"/>
          <w14:numForm w14:val="oldStyle"/>
        </w:rPr>
        <w:t xml:space="preserve"> </w:t>
      </w:r>
      <w:r w:rsidR="005270B0" w:rsidRPr="00D15774">
        <w:rPr>
          <w:rFonts w:asciiTheme="majorHAnsi" w:hAnsiTheme="majorHAnsi"/>
          <w:sz w:val="21"/>
          <w:szCs w:val="21"/>
          <w14:ligatures w14:val="standard"/>
          <w14:numForm w14:val="oldStyle"/>
        </w:rPr>
        <w:t>Ironically, he will use it to cast Cordelia aside. H</w:t>
      </w:r>
      <w:r w:rsidR="00937304" w:rsidRPr="00D15774">
        <w:rPr>
          <w:rFonts w:asciiTheme="majorHAnsi" w:hAnsiTheme="majorHAnsi"/>
          <w:sz w:val="21"/>
          <w:szCs w:val="21"/>
          <w14:ligatures w14:val="standard"/>
          <w14:numForm w14:val="oldStyle"/>
        </w:rPr>
        <w:t xml:space="preserve">e has called </w:t>
      </w:r>
      <w:r w:rsidR="005270B0" w:rsidRPr="00D15774">
        <w:rPr>
          <w:rFonts w:asciiTheme="majorHAnsi" w:hAnsiTheme="majorHAnsi"/>
          <w:sz w:val="21"/>
          <w:szCs w:val="21"/>
          <w14:ligatures w14:val="standard"/>
          <w14:numForm w14:val="oldStyle"/>
        </w:rPr>
        <w:t xml:space="preserve">her </w:t>
      </w:r>
      <w:r w:rsidR="00937304" w:rsidRPr="00D15774">
        <w:rPr>
          <w:rFonts w:asciiTheme="majorHAnsi" w:hAnsiTheme="majorHAnsi"/>
          <w:sz w:val="21"/>
          <w:szCs w:val="21"/>
          <w14:ligatures w14:val="standard"/>
          <w14:numForm w14:val="oldStyle"/>
        </w:rPr>
        <w:t>‘you’</w:t>
      </w:r>
      <w:r w:rsidR="0075599D" w:rsidRPr="00D15774">
        <w:rPr>
          <w:rFonts w:asciiTheme="majorHAnsi" w:hAnsiTheme="majorHAnsi"/>
          <w:sz w:val="21"/>
          <w:szCs w:val="21"/>
          <w14:ligatures w14:val="standard"/>
          <w14:numForm w14:val="oldStyle"/>
        </w:rPr>
        <w:t xml:space="preserve"> from the start: </w:t>
      </w:r>
      <w:r w:rsidR="00937304" w:rsidRPr="00D15774">
        <w:rPr>
          <w:rFonts w:asciiTheme="majorHAnsi" w:hAnsiTheme="majorHAnsi"/>
          <w:sz w:val="21"/>
          <w:szCs w:val="21"/>
          <w14:ligatures w14:val="standard"/>
          <w14:numForm w14:val="oldStyle"/>
        </w:rPr>
        <w:t>“What can you say…</w:t>
      </w:r>
      <w:r w:rsidR="009E6115" w:rsidRPr="00D15774">
        <w:rPr>
          <w:rFonts w:asciiTheme="majorHAnsi" w:hAnsiTheme="majorHAnsi"/>
          <w:sz w:val="21"/>
          <w:szCs w:val="21"/>
          <w14:ligatures w14:val="standard"/>
          <w14:numForm w14:val="oldStyle"/>
        </w:rPr>
        <w:t>”</w:t>
      </w:r>
      <w:r w:rsidR="00937304" w:rsidRPr="00D15774">
        <w:rPr>
          <w:rFonts w:asciiTheme="majorHAnsi" w:hAnsiTheme="majorHAnsi"/>
          <w:sz w:val="21"/>
          <w:szCs w:val="21"/>
          <w14:ligatures w14:val="standard"/>
          <w14:numForm w14:val="oldStyle"/>
        </w:rPr>
        <w:t xml:space="preserve"> </w:t>
      </w:r>
      <w:r w:rsidR="0075599D" w:rsidRPr="00D15774">
        <w:rPr>
          <w:rFonts w:asciiTheme="majorHAnsi" w:hAnsiTheme="majorHAnsi"/>
          <w:sz w:val="21"/>
          <w:szCs w:val="21"/>
          <w14:ligatures w14:val="standard"/>
          <w14:numForm w14:val="oldStyle"/>
        </w:rPr>
        <w:t>(</w:t>
      </w:r>
      <w:r w:rsidR="00937304" w:rsidRPr="00D15774">
        <w:rPr>
          <w:rFonts w:asciiTheme="majorHAnsi" w:hAnsiTheme="majorHAnsi"/>
          <w:sz w:val="21"/>
          <w:szCs w:val="21"/>
          <w14:ligatures w14:val="standard"/>
          <w14:numForm w14:val="oldStyle"/>
        </w:rPr>
        <w:t>82</w:t>
      </w:r>
      <w:r w:rsidR="0075599D" w:rsidRPr="00D15774">
        <w:rPr>
          <w:rFonts w:asciiTheme="majorHAnsi" w:hAnsiTheme="majorHAnsi"/>
          <w:sz w:val="21"/>
          <w:szCs w:val="21"/>
          <w14:ligatures w14:val="standard"/>
          <w14:numForm w14:val="oldStyle"/>
        </w:rPr>
        <w:t>)</w:t>
      </w:r>
      <w:r w:rsidR="00937304" w:rsidRPr="00D15774">
        <w:rPr>
          <w:rFonts w:asciiTheme="majorHAnsi" w:hAnsiTheme="majorHAnsi"/>
          <w:sz w:val="21"/>
          <w:szCs w:val="21"/>
          <w14:ligatures w14:val="standard"/>
          <w14:numForm w14:val="oldStyle"/>
        </w:rPr>
        <w:t xml:space="preserve"> “</w:t>
      </w:r>
      <w:proofErr w:type="gramStart"/>
      <w:r w:rsidR="00937304" w:rsidRPr="00D15774">
        <w:rPr>
          <w:rFonts w:asciiTheme="majorHAnsi" w:hAnsiTheme="majorHAnsi"/>
          <w:sz w:val="21"/>
          <w:szCs w:val="21"/>
          <w14:ligatures w14:val="standard"/>
          <w14:numForm w14:val="oldStyle"/>
        </w:rPr>
        <w:t>your</w:t>
      </w:r>
      <w:proofErr w:type="gramEnd"/>
      <w:r w:rsidR="00937304" w:rsidRPr="00D15774">
        <w:rPr>
          <w:rFonts w:asciiTheme="majorHAnsi" w:hAnsiTheme="majorHAnsi"/>
          <w:sz w:val="21"/>
          <w:szCs w:val="21"/>
          <w14:ligatures w14:val="standard"/>
          <w14:numForm w14:val="oldStyle"/>
        </w:rPr>
        <w:t xml:space="preserve"> sisters” </w:t>
      </w:r>
      <w:r w:rsidR="0075599D" w:rsidRPr="00D15774">
        <w:rPr>
          <w:rFonts w:asciiTheme="majorHAnsi" w:hAnsiTheme="majorHAnsi"/>
          <w:sz w:val="21"/>
          <w:szCs w:val="21"/>
          <w14:ligatures w14:val="standard"/>
          <w14:numForm w14:val="oldStyle"/>
        </w:rPr>
        <w:t>(</w:t>
      </w:r>
      <w:r w:rsidR="00937304" w:rsidRPr="00D15774">
        <w:rPr>
          <w:rFonts w:asciiTheme="majorHAnsi" w:hAnsiTheme="majorHAnsi"/>
          <w:sz w:val="21"/>
          <w:szCs w:val="21"/>
          <w14:ligatures w14:val="standard"/>
          <w14:numForm w14:val="oldStyle"/>
        </w:rPr>
        <w:t>83</w:t>
      </w:r>
      <w:r w:rsidR="0075599D" w:rsidRPr="00D15774">
        <w:rPr>
          <w:rFonts w:asciiTheme="majorHAnsi" w:hAnsiTheme="majorHAnsi"/>
          <w:sz w:val="21"/>
          <w:szCs w:val="21"/>
          <w14:ligatures w14:val="standard"/>
          <w14:numForm w14:val="oldStyle"/>
        </w:rPr>
        <w:t>)</w:t>
      </w:r>
      <w:r w:rsidR="00937304" w:rsidRPr="00D15774">
        <w:rPr>
          <w:rFonts w:asciiTheme="majorHAnsi" w:hAnsiTheme="majorHAnsi"/>
          <w:sz w:val="21"/>
          <w:szCs w:val="21"/>
          <w14:ligatures w14:val="standard"/>
          <w14:numForm w14:val="oldStyle"/>
        </w:rPr>
        <w:t xml:space="preserve">, “Mend your speech….” </w:t>
      </w:r>
      <w:r w:rsidR="0075599D" w:rsidRPr="00D15774">
        <w:rPr>
          <w:rFonts w:asciiTheme="majorHAnsi" w:hAnsiTheme="majorHAnsi"/>
          <w:sz w:val="21"/>
          <w:szCs w:val="21"/>
          <w14:ligatures w14:val="standard"/>
          <w14:numForm w14:val="oldStyle"/>
        </w:rPr>
        <w:t>(</w:t>
      </w:r>
      <w:r w:rsidR="00937304" w:rsidRPr="00D15774">
        <w:rPr>
          <w:rFonts w:asciiTheme="majorHAnsi" w:hAnsiTheme="majorHAnsi"/>
          <w:sz w:val="21"/>
          <w:szCs w:val="21"/>
          <w14:ligatures w14:val="standard"/>
          <w14:numForm w14:val="oldStyle"/>
        </w:rPr>
        <w:t>91</w:t>
      </w:r>
      <w:r w:rsidR="0075599D" w:rsidRPr="00D15774">
        <w:rPr>
          <w:rFonts w:asciiTheme="majorHAnsi" w:hAnsiTheme="majorHAnsi"/>
          <w:sz w:val="21"/>
          <w:szCs w:val="21"/>
          <w14:ligatures w14:val="standard"/>
          <w14:numForm w14:val="oldStyle"/>
        </w:rPr>
        <w:t>)</w:t>
      </w:r>
      <w:r w:rsidR="00937304" w:rsidRPr="00D15774">
        <w:rPr>
          <w:rFonts w:asciiTheme="majorHAnsi" w:hAnsiTheme="majorHAnsi"/>
          <w:sz w:val="21"/>
          <w:szCs w:val="21"/>
          <w14:ligatures w14:val="standard"/>
          <w14:numForm w14:val="oldStyle"/>
        </w:rPr>
        <w:t xml:space="preserve">, “…mar your fortunes” </w:t>
      </w:r>
      <w:r w:rsidR="0075599D" w:rsidRPr="00D15774">
        <w:rPr>
          <w:rFonts w:asciiTheme="majorHAnsi" w:hAnsiTheme="majorHAnsi"/>
          <w:sz w:val="21"/>
          <w:szCs w:val="21"/>
          <w14:ligatures w14:val="standard"/>
          <w14:numForm w14:val="oldStyle"/>
        </w:rPr>
        <w:t>(</w:t>
      </w:r>
      <w:r w:rsidR="00937304" w:rsidRPr="00D15774">
        <w:rPr>
          <w:rFonts w:asciiTheme="majorHAnsi" w:hAnsiTheme="majorHAnsi"/>
          <w:sz w:val="21"/>
          <w:szCs w:val="21"/>
          <w14:ligatures w14:val="standard"/>
          <w14:numForm w14:val="oldStyle"/>
        </w:rPr>
        <w:t>92</w:t>
      </w:r>
      <w:r w:rsidR="0075599D" w:rsidRPr="00D15774">
        <w:rPr>
          <w:rFonts w:asciiTheme="majorHAnsi" w:hAnsiTheme="majorHAnsi"/>
          <w:sz w:val="21"/>
          <w:szCs w:val="21"/>
          <w14:ligatures w14:val="standard"/>
          <w14:numForm w14:val="oldStyle"/>
        </w:rPr>
        <w:t>)</w:t>
      </w:r>
      <w:r w:rsidR="00937304" w:rsidRPr="00D15774">
        <w:rPr>
          <w:rFonts w:asciiTheme="majorHAnsi" w:hAnsiTheme="majorHAnsi"/>
          <w:sz w:val="21"/>
          <w:szCs w:val="21"/>
          <w14:ligatures w14:val="standard"/>
          <w14:numForm w14:val="oldStyle"/>
        </w:rPr>
        <w:t xml:space="preserve"> </w:t>
      </w:r>
      <w:proofErr w:type="gramStart"/>
      <w:r w:rsidR="00937304" w:rsidRPr="00D15774">
        <w:rPr>
          <w:rFonts w:asciiTheme="majorHAnsi" w:hAnsiTheme="majorHAnsi"/>
          <w:sz w:val="21"/>
          <w:szCs w:val="21"/>
          <w14:ligatures w14:val="standard"/>
          <w14:numForm w14:val="oldStyle"/>
        </w:rPr>
        <w:t>The</w:t>
      </w:r>
      <w:proofErr w:type="gramEnd"/>
      <w:r w:rsidR="00937304" w:rsidRPr="00D15774">
        <w:rPr>
          <w:rFonts w:asciiTheme="majorHAnsi" w:hAnsiTheme="majorHAnsi"/>
          <w:sz w:val="21"/>
          <w:szCs w:val="21"/>
          <w14:ligatures w14:val="standard"/>
          <w14:numForm w14:val="oldStyle"/>
        </w:rPr>
        <w:t xml:space="preserve"> </w:t>
      </w:r>
      <w:r w:rsidR="00937304" w:rsidRPr="00D15774">
        <w:rPr>
          <w:rFonts w:asciiTheme="majorHAnsi" w:hAnsiTheme="majorHAnsi"/>
          <w:i/>
          <w:sz w:val="21"/>
          <w:szCs w:val="21"/>
          <w14:ligatures w14:val="standard"/>
          <w14:numForm w14:val="oldStyle"/>
        </w:rPr>
        <w:t xml:space="preserve">you </w:t>
      </w:r>
      <w:r w:rsidR="00937304" w:rsidRPr="00D15774">
        <w:rPr>
          <w:rFonts w:asciiTheme="majorHAnsi" w:hAnsiTheme="majorHAnsi"/>
          <w:sz w:val="21"/>
          <w:szCs w:val="21"/>
          <w14:ligatures w14:val="standard"/>
          <w14:numForm w14:val="oldStyle"/>
        </w:rPr>
        <w:t xml:space="preserve">form normally shows respect; </w:t>
      </w:r>
      <w:r w:rsidR="00937304" w:rsidRPr="00D15774">
        <w:rPr>
          <w:rFonts w:asciiTheme="majorHAnsi" w:hAnsiTheme="majorHAnsi"/>
          <w:i/>
          <w:sz w:val="21"/>
          <w:szCs w:val="21"/>
          <w14:ligatures w14:val="standard"/>
          <w14:numForm w14:val="oldStyle"/>
        </w:rPr>
        <w:t>thou</w:t>
      </w:r>
      <w:r w:rsidR="00937304" w:rsidRPr="00D15774">
        <w:rPr>
          <w:rFonts w:asciiTheme="majorHAnsi" w:hAnsiTheme="majorHAnsi"/>
          <w:sz w:val="21"/>
          <w:szCs w:val="21"/>
          <w14:ligatures w14:val="standard"/>
          <w14:numForm w14:val="oldStyle"/>
        </w:rPr>
        <w:t xml:space="preserve"> and </w:t>
      </w:r>
      <w:r w:rsidR="00937304" w:rsidRPr="00D15774">
        <w:rPr>
          <w:rFonts w:asciiTheme="majorHAnsi" w:hAnsiTheme="majorHAnsi"/>
          <w:i/>
          <w:sz w:val="21"/>
          <w:szCs w:val="21"/>
          <w14:ligatures w14:val="standard"/>
          <w14:numForm w14:val="oldStyle"/>
        </w:rPr>
        <w:t>thee</w:t>
      </w:r>
      <w:r w:rsidR="00937304" w:rsidRPr="00D15774">
        <w:rPr>
          <w:rFonts w:asciiTheme="majorHAnsi" w:hAnsiTheme="majorHAnsi"/>
          <w:sz w:val="21"/>
          <w:szCs w:val="21"/>
          <w14:ligatures w14:val="standard"/>
          <w14:numForm w14:val="oldStyle"/>
        </w:rPr>
        <w:t xml:space="preserve"> mark a lack of respect, either because affection makes respect unnecessary or because words and actions have overcome any respect. So the ‘familiar’ form can be affectionate or denigrating. Sir Ian McKellen wears two wedding rings as Lear in the 2007 Royal Shakespeare Company </w:t>
      </w:r>
      <w:r w:rsidR="00A741F7" w:rsidRPr="00D15774">
        <w:rPr>
          <w:rFonts w:asciiTheme="majorHAnsi" w:hAnsiTheme="majorHAnsi"/>
          <w:sz w:val="21"/>
          <w:szCs w:val="21"/>
          <w14:ligatures w14:val="standard"/>
          <w14:numForm w14:val="oldStyle"/>
        </w:rPr>
        <w:t xml:space="preserve">production, </w:t>
      </w:r>
      <w:r w:rsidR="00113697" w:rsidRPr="00D15774">
        <w:rPr>
          <w:rFonts w:asciiTheme="majorHAnsi" w:hAnsiTheme="majorHAnsi"/>
          <w:sz w:val="21"/>
          <w:szCs w:val="21"/>
          <w14:ligatures w14:val="standard"/>
          <w14:numForm w14:val="oldStyle"/>
        </w:rPr>
        <w:t xml:space="preserve">telling Paul Lieberman in an interview </w:t>
      </w:r>
      <w:r w:rsidR="00A741F7" w:rsidRPr="00D15774">
        <w:rPr>
          <w:rFonts w:asciiTheme="majorHAnsi" w:hAnsiTheme="majorHAnsi"/>
          <w:sz w:val="21"/>
          <w:szCs w:val="21"/>
          <w14:ligatures w14:val="standard"/>
          <w14:numForm w14:val="oldStyle"/>
        </w:rPr>
        <w:t xml:space="preserve">that </w:t>
      </w:r>
      <w:r w:rsidR="00113697" w:rsidRPr="00D15774">
        <w:rPr>
          <w:rFonts w:asciiTheme="majorHAnsi" w:hAnsiTheme="majorHAnsi"/>
          <w:sz w:val="21"/>
          <w:szCs w:val="21"/>
          <w14:ligatures w14:val="standard"/>
          <w14:numForm w14:val="oldStyle"/>
        </w:rPr>
        <w:t>the king</w:t>
      </w:r>
      <w:r w:rsidR="00A741F7" w:rsidRPr="00D15774">
        <w:rPr>
          <w:rFonts w:asciiTheme="majorHAnsi" w:hAnsiTheme="majorHAnsi"/>
          <w:sz w:val="21"/>
          <w:szCs w:val="21"/>
          <w14:ligatures w14:val="standard"/>
          <w14:numForm w14:val="oldStyle"/>
        </w:rPr>
        <w:t xml:space="preserve"> married twice, once to the mother of the depraved older daughters, then to a “beloved second Queen Lear [who] died in </w:t>
      </w:r>
      <w:r w:rsidR="00A741F7" w:rsidRPr="00D15774">
        <w:rPr>
          <w:rFonts w:asciiTheme="majorHAnsi" w:hAnsiTheme="majorHAnsi"/>
          <w:sz w:val="21"/>
          <w:szCs w:val="21"/>
          <w14:ligatures w14:val="standard"/>
          <w14:numForm w14:val="oldStyle"/>
        </w:rPr>
        <w:lastRenderedPageBreak/>
        <w:t>childbirth….”</w:t>
      </w:r>
      <w:r w:rsidR="00A741F7" w:rsidRPr="00D15774">
        <w:rPr>
          <w:rStyle w:val="FootnoteReference"/>
          <w:rFonts w:asciiTheme="majorHAnsi" w:hAnsiTheme="majorHAnsi"/>
          <w:sz w:val="21"/>
          <w:szCs w:val="21"/>
          <w14:ligatures w14:val="standard"/>
          <w14:numForm w14:val="oldStyle"/>
        </w:rPr>
        <w:footnoteReference w:id="2"/>
      </w:r>
      <w:r w:rsidR="00A741F7" w:rsidRPr="00D15774">
        <w:rPr>
          <w:rFonts w:asciiTheme="majorHAnsi" w:hAnsiTheme="majorHAnsi"/>
          <w:sz w:val="21"/>
          <w:szCs w:val="21"/>
          <w14:ligatures w14:val="standard"/>
          <w14:numForm w14:val="oldStyle"/>
        </w:rPr>
        <w:t xml:space="preserve"> From</w:t>
      </w:r>
      <w:r w:rsidR="00113697" w:rsidRPr="00D15774">
        <w:rPr>
          <w:rFonts w:asciiTheme="majorHAnsi" w:hAnsiTheme="majorHAnsi"/>
          <w:sz w:val="21"/>
          <w:szCs w:val="21"/>
          <w14:ligatures w14:val="standard"/>
          <w14:numForm w14:val="oldStyle"/>
        </w:rPr>
        <w:t xml:space="preserve"> what </w:t>
      </w:r>
      <w:r w:rsidR="00A741F7" w:rsidRPr="00D15774">
        <w:rPr>
          <w:rFonts w:asciiTheme="majorHAnsi" w:hAnsiTheme="majorHAnsi"/>
          <w:sz w:val="21"/>
          <w:szCs w:val="21"/>
          <w14:ligatures w14:val="standard"/>
          <w14:numForm w14:val="oldStyle"/>
        </w:rPr>
        <w:t xml:space="preserve"> </w:t>
      </w:r>
      <w:r w:rsidR="00113697" w:rsidRPr="00D15774">
        <w:rPr>
          <w:rFonts w:asciiTheme="majorHAnsi" w:hAnsiTheme="majorHAnsi"/>
          <w:sz w:val="21"/>
          <w:szCs w:val="21"/>
          <w14:ligatures w14:val="standard"/>
          <w14:numForm w14:val="oldStyle"/>
        </w:rPr>
        <w:t xml:space="preserve">Lieberman calls </w:t>
      </w:r>
      <w:r w:rsidR="00A741F7" w:rsidRPr="00D15774">
        <w:rPr>
          <w:rFonts w:asciiTheme="majorHAnsi" w:hAnsiTheme="majorHAnsi"/>
          <w:sz w:val="21"/>
          <w:szCs w:val="21"/>
          <w14:ligatures w14:val="standard"/>
          <w14:numForm w14:val="oldStyle"/>
        </w:rPr>
        <w:t xml:space="preserve">the “complex feelings in the recesses of the king’s mind,” may grow the respect he shows Cordelia But when she gives him a response he does not want, he first shifts to the familiar to remind her that she is his child and </w:t>
      </w:r>
      <w:r w:rsidR="00113697" w:rsidRPr="00D15774">
        <w:rPr>
          <w:rFonts w:asciiTheme="majorHAnsi" w:hAnsiTheme="majorHAnsi"/>
          <w:sz w:val="21"/>
          <w:szCs w:val="21"/>
          <w14:ligatures w14:val="standard"/>
          <w14:numForm w14:val="oldStyle"/>
        </w:rPr>
        <w:t>must show obedience</w:t>
      </w:r>
      <w:r w:rsidR="00113697" w:rsidRPr="00D15774">
        <w:rPr>
          <w:rFonts w:asciiTheme="majorHAnsi" w:hAnsiTheme="majorHAnsi"/>
          <w:sz w:val="21"/>
          <w:szCs w:val="21"/>
          <w:rtl/>
          <w:lang w:bidi="he-IL"/>
          <w14:ligatures w14:val="standard"/>
          <w14:numForm w14:val="oldStyle"/>
        </w:rPr>
        <w:t>—</w:t>
      </w:r>
      <w:r w:rsidR="00113697" w:rsidRPr="00D15774">
        <w:rPr>
          <w:rFonts w:asciiTheme="majorHAnsi" w:hAnsiTheme="majorHAnsi"/>
          <w:sz w:val="21"/>
          <w:szCs w:val="21"/>
          <w14:ligatures w14:val="standard"/>
          <w14:numForm w14:val="oldStyle"/>
        </w:rPr>
        <w:t xml:space="preserve"> “But goes thy heart with this?” (103). When that fails, the familiar becomes the withering medium of his curse: “Let it be so: thy truth then be thy dower!” (105) </w:t>
      </w:r>
      <w:r w:rsidR="0075599D" w:rsidRPr="00D15774">
        <w:rPr>
          <w:rFonts w:asciiTheme="majorHAnsi" w:hAnsiTheme="majorHAnsi"/>
          <w:sz w:val="21"/>
          <w:szCs w:val="21"/>
          <w14:ligatures w14:val="standard"/>
          <w14:numForm w14:val="oldStyle"/>
        </w:rPr>
        <w:t>Shakespeare reinforces the notion when he has Lear revert to calling Cordelia ‘you,’ when they are reunited in Act 5, even before he acknowledges that he recognizes her.</w:t>
      </w:r>
    </w:p>
    <w:p w:rsidR="0075599D" w:rsidRPr="00D15774" w:rsidRDefault="0075599D" w:rsidP="00327807">
      <w:pPr>
        <w:pStyle w:val="ListParagraph"/>
        <w:ind w:left="0" w:firstLine="288"/>
        <w:rPr>
          <w:rFonts w:asciiTheme="majorHAnsi" w:hAnsiTheme="majorHAnsi"/>
          <w:sz w:val="21"/>
          <w:szCs w:val="21"/>
          <w14:ligatures w14:val="standard"/>
          <w14:numForm w14:val="oldStyle"/>
        </w:rPr>
      </w:pPr>
      <w:r w:rsidRPr="00D15774">
        <w:rPr>
          <w:rFonts w:asciiTheme="majorHAnsi" w:hAnsiTheme="majorHAnsi"/>
          <w:sz w:val="21"/>
          <w:szCs w:val="21"/>
          <w14:ligatures w14:val="standard"/>
          <w14:numForm w14:val="oldStyle"/>
        </w:rPr>
        <w:t xml:space="preserve">We can speculate on other relationships. Goneril and Regan, incapable of </w:t>
      </w:r>
      <w:r w:rsidR="00140B3D" w:rsidRPr="00D15774">
        <w:rPr>
          <w:rFonts w:asciiTheme="majorHAnsi" w:hAnsiTheme="majorHAnsi"/>
          <w:sz w:val="21"/>
          <w:szCs w:val="21"/>
          <w14:ligatures w14:val="standard"/>
          <w14:numForm w14:val="oldStyle"/>
        </w:rPr>
        <w:t xml:space="preserve">affection, use the polite forms even on each other. Lear calls France “you,” but shifts when France takes up Cordelia, “Thou hast her, France, let her be thine….” (259) France and Kent call Cordelia “thou’; Goneril and Burgundy call her “you.” </w:t>
      </w:r>
      <w:r w:rsidR="009E6115" w:rsidRPr="00D15774">
        <w:rPr>
          <w:rFonts w:asciiTheme="majorHAnsi" w:hAnsiTheme="majorHAnsi"/>
          <w:sz w:val="21"/>
          <w:szCs w:val="21"/>
          <w14:ligatures w14:val="standard"/>
          <w14:numForm w14:val="oldStyle"/>
        </w:rPr>
        <w:t>Clearly, there’s food for interpretative study.</w:t>
      </w:r>
    </w:p>
    <w:p w:rsidR="00140B3D" w:rsidRPr="00D15774" w:rsidRDefault="0004510C" w:rsidP="00327807">
      <w:pPr>
        <w:pStyle w:val="ListParagraph"/>
        <w:ind w:left="0" w:firstLine="288"/>
        <w:rPr>
          <w:rFonts w:asciiTheme="majorHAnsi" w:hAnsiTheme="majorHAnsi"/>
          <w:sz w:val="21"/>
          <w:szCs w:val="21"/>
          <w14:ligatures w14:val="standard"/>
          <w14:numForm w14:val="oldStyle"/>
        </w:rPr>
      </w:pPr>
      <w:r w:rsidRPr="00D15774">
        <w:rPr>
          <w:rFonts w:asciiTheme="majorHAnsi" w:hAnsiTheme="majorHAnsi"/>
          <w:sz w:val="21"/>
          <w:szCs w:val="21"/>
          <w14:ligatures w14:val="standard"/>
          <w14:numForm w14:val="oldStyle"/>
        </w:rPr>
        <w:t>The prosody of the play’s opening scene can lead into rich discussion.  Shakespeare clearly marks the distinction between the court assembly that dominates the scene and the more private conversations that begin and end it. Lear’s commanding presence changes the lines to verse, where they stay until he exits. Noticing where, how, and why the two shifts occur will prepare a tool that will become more and more useful throughout the play.</w:t>
      </w:r>
    </w:p>
    <w:p w:rsidR="000C6AA9" w:rsidRPr="00D15774" w:rsidRDefault="0004510C" w:rsidP="00327807">
      <w:pPr>
        <w:pStyle w:val="ListParagraph"/>
        <w:ind w:left="0" w:firstLine="288"/>
        <w:rPr>
          <w:rFonts w:asciiTheme="majorHAnsi" w:hAnsiTheme="majorHAnsi"/>
          <w:sz w:val="21"/>
          <w:szCs w:val="21"/>
          <w14:ligatures w14:val="standard"/>
          <w14:numForm w14:val="oldStyle"/>
        </w:rPr>
      </w:pPr>
      <w:r w:rsidRPr="00D15774">
        <w:rPr>
          <w:rFonts w:asciiTheme="majorHAnsi" w:hAnsiTheme="majorHAnsi"/>
          <w:sz w:val="21"/>
          <w:szCs w:val="21"/>
          <w14:ligatures w14:val="standard"/>
          <w14:numForm w14:val="oldStyle"/>
        </w:rPr>
        <w:t xml:space="preserve">Shakespeare will have characters share lines of blank verse, sometimes </w:t>
      </w:r>
      <w:r w:rsidR="0061332A" w:rsidRPr="00D15774">
        <w:rPr>
          <w:rFonts w:asciiTheme="majorHAnsi" w:hAnsiTheme="majorHAnsi"/>
          <w:sz w:val="21"/>
          <w:szCs w:val="21"/>
          <w14:ligatures w14:val="standard"/>
          <w14:numForm w14:val="oldStyle"/>
        </w:rPr>
        <w:t>to pull them close to each other, sometimes to underscore conflict. In this scene the most dramatic examples lie in the increasingly fiery exchange between Lear and Kent who interrupt each other’s lines, if not always each other’s speech, no fewer than seven times in the forty-six lines that pick up speed from the pattern (117-163).</w:t>
      </w:r>
      <w:r w:rsidR="000C6AA9" w:rsidRPr="00D15774">
        <w:rPr>
          <w:rFonts w:asciiTheme="majorHAnsi" w:hAnsiTheme="majorHAnsi"/>
          <w:sz w:val="21"/>
          <w:szCs w:val="21"/>
          <w14:ligatures w14:val="standard"/>
          <w14:numForm w14:val="oldStyle"/>
        </w:rPr>
        <w:t xml:space="preserve"> Shakespeare begins to draw France and Cordelia together when he has them share line 220, although both are talking to Lear. By their next shared line, though, France is easing her away from the family that has turned on her, “Well may you prosper! / Come, my fair Cordelia.” (279) </w:t>
      </w:r>
      <w:proofErr w:type="gramStart"/>
      <w:r w:rsidR="000C6AA9" w:rsidRPr="00D15774">
        <w:rPr>
          <w:rFonts w:asciiTheme="majorHAnsi" w:hAnsiTheme="majorHAnsi"/>
          <w:sz w:val="21"/>
          <w:szCs w:val="21"/>
          <w14:ligatures w14:val="standard"/>
          <w14:numForm w14:val="oldStyle"/>
        </w:rPr>
        <w:t>Neither</w:t>
      </w:r>
      <w:proofErr w:type="gramEnd"/>
      <w:r w:rsidR="000C6AA9" w:rsidRPr="00D15774">
        <w:rPr>
          <w:rFonts w:asciiTheme="majorHAnsi" w:hAnsiTheme="majorHAnsi"/>
          <w:sz w:val="21"/>
          <w:szCs w:val="21"/>
          <w14:ligatures w14:val="standard"/>
          <w14:numForm w14:val="oldStyle"/>
        </w:rPr>
        <w:t xml:space="preserve"> Goneril nor Regan shares a line with anyone else until they unite to “gang up” on Cordelia, “[Regan] Prescribe not us our duty. [Goneril] Let your study / </w:t>
      </w:r>
      <w:proofErr w:type="gramStart"/>
      <w:r w:rsidR="000C6AA9" w:rsidRPr="00D15774">
        <w:rPr>
          <w:rFonts w:asciiTheme="majorHAnsi" w:hAnsiTheme="majorHAnsi"/>
          <w:sz w:val="21"/>
          <w:szCs w:val="21"/>
          <w14:ligatures w14:val="standard"/>
          <w14:numForm w14:val="oldStyle"/>
        </w:rPr>
        <w:t>Be</w:t>
      </w:r>
      <w:proofErr w:type="gramEnd"/>
      <w:r w:rsidR="000C6AA9" w:rsidRPr="00D15774">
        <w:rPr>
          <w:rFonts w:asciiTheme="majorHAnsi" w:hAnsiTheme="majorHAnsi"/>
          <w:sz w:val="21"/>
          <w:szCs w:val="21"/>
          <w14:ligatures w14:val="standard"/>
          <w14:numForm w14:val="oldStyle"/>
        </w:rPr>
        <w:t xml:space="preserve"> to content your lord….” </w:t>
      </w:r>
      <w:proofErr w:type="gramStart"/>
      <w:r w:rsidR="000C6AA9" w:rsidRPr="00D15774">
        <w:rPr>
          <w:rFonts w:asciiTheme="majorHAnsi" w:hAnsiTheme="majorHAnsi"/>
          <w:sz w:val="21"/>
          <w:szCs w:val="21"/>
          <w14:ligatures w14:val="standard"/>
          <w14:numForm w14:val="oldStyle"/>
        </w:rPr>
        <w:t>(273-74).</w:t>
      </w:r>
      <w:proofErr w:type="gramEnd"/>
    </w:p>
    <w:p w:rsidR="000C6AA9" w:rsidRPr="00D15774" w:rsidRDefault="000C6AA9" w:rsidP="00327807">
      <w:pPr>
        <w:pStyle w:val="ListParagraph"/>
        <w:ind w:left="0" w:firstLine="288"/>
        <w:rPr>
          <w:rFonts w:asciiTheme="majorHAnsi" w:hAnsiTheme="majorHAnsi"/>
          <w:sz w:val="21"/>
          <w:szCs w:val="21"/>
          <w14:ligatures w14:val="standard"/>
          <w14:numForm w14:val="oldStyle"/>
        </w:rPr>
      </w:pPr>
      <w:r w:rsidRPr="00D15774">
        <w:rPr>
          <w:rFonts w:asciiTheme="majorHAnsi" w:hAnsiTheme="majorHAnsi"/>
          <w:sz w:val="21"/>
          <w:szCs w:val="21"/>
          <w14:ligatures w14:val="standard"/>
          <w14:numForm w14:val="oldStyle"/>
        </w:rPr>
        <w:t xml:space="preserve">Finally we list the antitheses </w:t>
      </w:r>
      <w:r w:rsidR="00573946" w:rsidRPr="00D15774">
        <w:rPr>
          <w:rFonts w:asciiTheme="majorHAnsi" w:hAnsiTheme="majorHAnsi"/>
          <w:sz w:val="21"/>
          <w:szCs w:val="21"/>
          <w14:ligatures w14:val="standard"/>
          <w14:numForm w14:val="oldStyle"/>
        </w:rPr>
        <w:t>that so enhance France’s taking up of Cordelia. They come ‘in happy time,’ too, helping to smooth into courteous behavior what could be played as rougher treatment of a Cordelia who has not openly consented to the bargain. (Does she look wistfully back at Burgundy as she leaves?)</w:t>
      </w:r>
    </w:p>
    <w:p w:rsidR="000C6AA9" w:rsidRPr="00D15774" w:rsidRDefault="000C6AA9" w:rsidP="00327807">
      <w:pPr>
        <w:pStyle w:val="ListParagraph"/>
        <w:ind w:left="0" w:firstLine="288"/>
        <w:rPr>
          <w:rFonts w:asciiTheme="majorHAnsi" w:hAnsiTheme="majorHAnsi"/>
          <w:sz w:val="2"/>
          <w:szCs w:val="2"/>
          <w14:ligatures w14:val="standard"/>
          <w14:numForm w14:val="oldStyle"/>
        </w:rPr>
      </w:pPr>
      <w:bookmarkStart w:id="0" w:name="_GoBack"/>
      <w:bookmarkEnd w:id="0"/>
    </w:p>
    <w:sectPr w:rsidR="000C6AA9" w:rsidRPr="00D15774" w:rsidSect="00327807">
      <w:type w:val="continuous"/>
      <w:pgSz w:w="12240" w:h="15840"/>
      <w:pgMar w:top="720" w:right="720" w:bottom="1080" w:left="1080" w:header="720" w:footer="720" w:gutter="0"/>
      <w:pgNumType w:start="1"/>
      <w:cols w:num="2" w:space="36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45ED" w:rsidRPr="005D6F2E" w:rsidRDefault="00C445ED">
      <w:pPr>
        <w:rPr>
          <w:sz w:val="16"/>
          <w:szCs w:val="14"/>
        </w:rPr>
      </w:pPr>
      <w:r>
        <w:separator/>
      </w:r>
    </w:p>
  </w:endnote>
  <w:endnote w:type="continuationSeparator" w:id="0">
    <w:p w:rsidR="00C445ED" w:rsidRPr="005D6F2E" w:rsidRDefault="00C445ED">
      <w:pPr>
        <w:rPr>
          <w:sz w:val="16"/>
          <w:szCs w:val="14"/>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nstantia">
    <w:panose1 w:val="02030602050306030303"/>
    <w:charset w:val="00"/>
    <w:family w:val="roman"/>
    <w:pitch w:val="variable"/>
    <w:sig w:usb0="A00002EF" w:usb1="4000204B" w:usb2="00000000" w:usb3="00000000" w:csb0="0000019F" w:csb1="00000000"/>
  </w:font>
  <w:font w:name="Dante MT Alt">
    <w:panose1 w:val="020B0500000000000000"/>
    <w:charset w:val="00"/>
    <w:family w:val="swiss"/>
    <w:pitch w:val="variable"/>
    <w:sig w:usb0="00000003" w:usb1="00000000" w:usb2="00000000" w:usb3="00000000" w:csb0="00000001" w:csb1="00000000"/>
  </w:font>
  <w:font w:name="Malgun Gothic">
    <w:altName w:val="맑은 고딕"/>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45ED" w:rsidRPr="005D6F2E" w:rsidRDefault="00C445ED">
      <w:pPr>
        <w:rPr>
          <w:sz w:val="16"/>
          <w:szCs w:val="14"/>
        </w:rPr>
      </w:pPr>
      <w:r>
        <w:separator/>
      </w:r>
    </w:p>
  </w:footnote>
  <w:footnote w:type="continuationSeparator" w:id="0">
    <w:p w:rsidR="00C445ED" w:rsidRPr="005D6F2E" w:rsidRDefault="00C445ED">
      <w:pPr>
        <w:rPr>
          <w:sz w:val="16"/>
          <w:szCs w:val="14"/>
        </w:rPr>
      </w:pPr>
      <w:r>
        <w:continuationSeparator/>
      </w:r>
    </w:p>
  </w:footnote>
  <w:footnote w:id="1">
    <w:p w:rsidR="003E7267" w:rsidRDefault="003E7267">
      <w:pPr>
        <w:pStyle w:val="FootnoteText"/>
      </w:pPr>
      <w:r>
        <w:rPr>
          <w:rStyle w:val="FootnoteReference"/>
        </w:rPr>
        <w:footnoteRef/>
      </w:r>
      <w:r>
        <w:t xml:space="preserve"> </w:t>
      </w:r>
      <w:r w:rsidRPr="00155D40">
        <w:rPr>
          <w:sz w:val="16"/>
          <w:szCs w:val="16"/>
        </w:rPr>
        <w:t xml:space="preserve">Miriam Gilbert. Lecture. </w:t>
      </w:r>
      <w:proofErr w:type="gramStart"/>
      <w:r w:rsidRPr="00155D40">
        <w:rPr>
          <w:sz w:val="16"/>
          <w:szCs w:val="16"/>
        </w:rPr>
        <w:t>The Shakespeare Center, Stratford-upon-Avon.</w:t>
      </w:r>
      <w:proofErr w:type="gramEnd"/>
      <w:r w:rsidRPr="00155D40">
        <w:rPr>
          <w:sz w:val="16"/>
          <w:szCs w:val="16"/>
        </w:rPr>
        <w:t xml:space="preserve"> 19 June 2007.</w:t>
      </w:r>
    </w:p>
  </w:footnote>
  <w:footnote w:id="2">
    <w:p w:rsidR="00A741F7" w:rsidRPr="00A741F7" w:rsidRDefault="00A741F7">
      <w:pPr>
        <w:pStyle w:val="FootnoteText"/>
      </w:pPr>
      <w:r>
        <w:rPr>
          <w:rStyle w:val="FootnoteReference"/>
        </w:rPr>
        <w:footnoteRef/>
      </w:r>
      <w:r>
        <w:t xml:space="preserve"> </w:t>
      </w:r>
      <w:r w:rsidRPr="00155D40">
        <w:rPr>
          <w:sz w:val="16"/>
          <w:szCs w:val="16"/>
        </w:rPr>
        <w:t xml:space="preserve">Ian </w:t>
      </w:r>
      <w:proofErr w:type="gramStart"/>
      <w:r w:rsidRPr="00155D40">
        <w:rPr>
          <w:sz w:val="16"/>
          <w:szCs w:val="16"/>
        </w:rPr>
        <w:t>McKellen,</w:t>
      </w:r>
      <w:proofErr w:type="gramEnd"/>
      <w:r w:rsidRPr="00155D40">
        <w:rPr>
          <w:sz w:val="16"/>
          <w:szCs w:val="16"/>
        </w:rPr>
        <w:t xml:space="preserve"> interviewed by Paul Lieberman for “The Knight Who Would Be King,” </w:t>
      </w:r>
      <w:r w:rsidRPr="00155D40">
        <w:rPr>
          <w:i/>
          <w:sz w:val="16"/>
          <w:szCs w:val="16"/>
        </w:rPr>
        <w:t>Los Angeles Times,</w:t>
      </w:r>
      <w:r w:rsidRPr="00155D40">
        <w:rPr>
          <w:sz w:val="16"/>
          <w:szCs w:val="16"/>
        </w:rPr>
        <w:t xml:space="preserve"> 14 October 2007, F1</w:t>
      </w:r>
      <w:r w:rsidR="00155D40" w:rsidRPr="00155D40">
        <w:rPr>
          <w:sz w:val="16"/>
          <w:szCs w:val="16"/>
        </w:rPr>
        <w:t>, Print.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E58DC"/>
    <w:multiLevelType w:val="hybridMultilevel"/>
    <w:tmpl w:val="82F0B5C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415A4FEF"/>
    <w:multiLevelType w:val="hybridMultilevel"/>
    <w:tmpl w:val="6CC418E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6B8D4F2A"/>
    <w:multiLevelType w:val="hybridMultilevel"/>
    <w:tmpl w:val="5E6810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79CC6780"/>
    <w:multiLevelType w:val="hybridMultilevel"/>
    <w:tmpl w:val="7868A64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3"/>
  </w:num>
  <w:num w:numId="2">
    <w:abstractNumId w:val="3"/>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en-US" w:vendorID="8"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7DB"/>
    <w:rsid w:val="0004510C"/>
    <w:rsid w:val="000552C6"/>
    <w:rsid w:val="000611BF"/>
    <w:rsid w:val="000627DB"/>
    <w:rsid w:val="000B1963"/>
    <w:rsid w:val="000C6AA9"/>
    <w:rsid w:val="00113313"/>
    <w:rsid w:val="00113697"/>
    <w:rsid w:val="00140B3D"/>
    <w:rsid w:val="00155D40"/>
    <w:rsid w:val="00156687"/>
    <w:rsid w:val="001F7CA2"/>
    <w:rsid w:val="00222347"/>
    <w:rsid w:val="00241861"/>
    <w:rsid w:val="00257387"/>
    <w:rsid w:val="002D76E8"/>
    <w:rsid w:val="00327807"/>
    <w:rsid w:val="003363A3"/>
    <w:rsid w:val="003B6989"/>
    <w:rsid w:val="003E7267"/>
    <w:rsid w:val="00497532"/>
    <w:rsid w:val="005270B0"/>
    <w:rsid w:val="00573946"/>
    <w:rsid w:val="005B4AFF"/>
    <w:rsid w:val="005F334E"/>
    <w:rsid w:val="0061332A"/>
    <w:rsid w:val="00643F8C"/>
    <w:rsid w:val="006531AC"/>
    <w:rsid w:val="00670EEA"/>
    <w:rsid w:val="00691CEA"/>
    <w:rsid w:val="006A7A6D"/>
    <w:rsid w:val="006B3FBC"/>
    <w:rsid w:val="006C0BCD"/>
    <w:rsid w:val="007044D7"/>
    <w:rsid w:val="00730CEA"/>
    <w:rsid w:val="0075599D"/>
    <w:rsid w:val="007E4B26"/>
    <w:rsid w:val="007F134F"/>
    <w:rsid w:val="00865403"/>
    <w:rsid w:val="00894965"/>
    <w:rsid w:val="008D535D"/>
    <w:rsid w:val="00937304"/>
    <w:rsid w:val="009E6115"/>
    <w:rsid w:val="009F7DEB"/>
    <w:rsid w:val="00A1013D"/>
    <w:rsid w:val="00A22B79"/>
    <w:rsid w:val="00A279CA"/>
    <w:rsid w:val="00A44947"/>
    <w:rsid w:val="00A741F7"/>
    <w:rsid w:val="00AA66CF"/>
    <w:rsid w:val="00AB702C"/>
    <w:rsid w:val="00AE5CE0"/>
    <w:rsid w:val="00B70F82"/>
    <w:rsid w:val="00B75CED"/>
    <w:rsid w:val="00C445ED"/>
    <w:rsid w:val="00CA56B3"/>
    <w:rsid w:val="00CD2350"/>
    <w:rsid w:val="00D15774"/>
    <w:rsid w:val="00D62B0E"/>
    <w:rsid w:val="00D81446"/>
    <w:rsid w:val="00DE01D1"/>
    <w:rsid w:val="00DE5AFE"/>
    <w:rsid w:val="00E061B5"/>
    <w:rsid w:val="00ED0494"/>
    <w:rsid w:val="00F85CBE"/>
    <w:rsid w:val="00FF147C"/>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C0BCD"/>
    <w:pPr>
      <w:ind w:left="360" w:hanging="360"/>
    </w:pPr>
    <w:rPr>
      <w:rFonts w:ascii="Constantia" w:hAnsi="Constantia"/>
      <w:sz w:val="22"/>
      <w:szCs w:val="28"/>
      <w:lang w:eastAsia="zh-CN"/>
    </w:rPr>
  </w:style>
  <w:style w:type="paragraph" w:styleId="Heading1">
    <w:name w:val="heading 1"/>
    <w:basedOn w:val="Normal"/>
    <w:next w:val="Normal"/>
    <w:qFormat/>
    <w:pPr>
      <w:keepNext/>
      <w:spacing w:before="240" w:after="120"/>
      <w:outlineLvl w:val="0"/>
    </w:pPr>
    <w:rPr>
      <w:b/>
      <w:bC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qFormat/>
    <w:pPr>
      <w:jc w:val="center"/>
    </w:pPr>
    <w:rPr>
      <w:b/>
      <w:bCs/>
    </w:rPr>
  </w:style>
  <w:style w:type="paragraph" w:styleId="Subtitle">
    <w:name w:val="Subtitle"/>
    <w:basedOn w:val="Normal"/>
    <w:qFormat/>
    <w:rPr>
      <w:b/>
      <w:bCs/>
    </w:rPr>
  </w:style>
  <w:style w:type="paragraph" w:styleId="Footer">
    <w:name w:val="footer"/>
    <w:basedOn w:val="Normal"/>
    <w:rsid w:val="000611BF"/>
    <w:pPr>
      <w:tabs>
        <w:tab w:val="center" w:pos="4320"/>
        <w:tab w:val="right" w:pos="8640"/>
      </w:tabs>
    </w:pPr>
  </w:style>
  <w:style w:type="character" w:styleId="PageNumber">
    <w:name w:val="page number"/>
    <w:rsid w:val="000611BF"/>
    <w:rPr>
      <w:rFonts w:ascii="Dante MT Alt" w:hAnsi="Dante MT Alt"/>
    </w:rPr>
  </w:style>
  <w:style w:type="paragraph" w:styleId="Header">
    <w:name w:val="header"/>
    <w:basedOn w:val="Normal"/>
    <w:link w:val="HeaderChar"/>
    <w:uiPriority w:val="99"/>
    <w:rsid w:val="008D535D"/>
    <w:pPr>
      <w:tabs>
        <w:tab w:val="center" w:pos="4680"/>
        <w:tab w:val="right" w:pos="9360"/>
      </w:tabs>
    </w:pPr>
  </w:style>
  <w:style w:type="character" w:customStyle="1" w:styleId="HeaderChar">
    <w:name w:val="Header Char"/>
    <w:link w:val="Header"/>
    <w:uiPriority w:val="99"/>
    <w:rsid w:val="008D535D"/>
    <w:rPr>
      <w:rFonts w:ascii="Dante MT Alt" w:hAnsi="Dante MT Alt"/>
      <w:sz w:val="28"/>
      <w:szCs w:val="28"/>
      <w:lang w:eastAsia="zh-CN"/>
    </w:rPr>
  </w:style>
  <w:style w:type="paragraph" w:styleId="ListParagraph">
    <w:name w:val="List Paragraph"/>
    <w:basedOn w:val="Normal"/>
    <w:uiPriority w:val="34"/>
    <w:qFormat/>
    <w:rsid w:val="003363A3"/>
    <w:pPr>
      <w:ind w:left="720" w:firstLine="0"/>
    </w:pPr>
    <w:rPr>
      <w:rFonts w:ascii="Times New Roman" w:eastAsia="Malgun Gothic" w:hAnsi="Times New Roman"/>
      <w:sz w:val="24"/>
      <w:szCs w:val="24"/>
      <w:lang w:eastAsia="ko-KR"/>
    </w:rPr>
  </w:style>
  <w:style w:type="paragraph" w:styleId="BalloonText">
    <w:name w:val="Balloon Text"/>
    <w:basedOn w:val="Normal"/>
    <w:link w:val="BalloonTextChar"/>
    <w:rsid w:val="001F7CA2"/>
    <w:rPr>
      <w:rFonts w:ascii="Tahoma" w:hAnsi="Tahoma" w:cs="Tahoma"/>
      <w:sz w:val="16"/>
      <w:szCs w:val="16"/>
    </w:rPr>
  </w:style>
  <w:style w:type="character" w:customStyle="1" w:styleId="BalloonTextChar">
    <w:name w:val="Balloon Text Char"/>
    <w:link w:val="BalloonText"/>
    <w:rsid w:val="001F7CA2"/>
    <w:rPr>
      <w:rFonts w:ascii="Tahoma" w:hAnsi="Tahoma" w:cs="Tahoma"/>
      <w:sz w:val="16"/>
      <w:szCs w:val="16"/>
      <w:lang w:eastAsia="zh-CN"/>
    </w:rPr>
  </w:style>
  <w:style w:type="paragraph" w:styleId="FootnoteText">
    <w:name w:val="footnote text"/>
    <w:basedOn w:val="Normal"/>
    <w:link w:val="FootnoteTextChar"/>
    <w:rsid w:val="003E7267"/>
    <w:rPr>
      <w:sz w:val="20"/>
      <w:szCs w:val="20"/>
    </w:rPr>
  </w:style>
  <w:style w:type="character" w:customStyle="1" w:styleId="FootnoteTextChar">
    <w:name w:val="Footnote Text Char"/>
    <w:link w:val="FootnoteText"/>
    <w:rsid w:val="003E7267"/>
    <w:rPr>
      <w:rFonts w:ascii="Constantia" w:hAnsi="Constantia"/>
      <w:lang w:eastAsia="zh-CN"/>
    </w:rPr>
  </w:style>
  <w:style w:type="character" w:styleId="FootnoteReference">
    <w:name w:val="footnote reference"/>
    <w:rsid w:val="003E7267"/>
    <w:rPr>
      <w:vertAlign w:val="superscript"/>
    </w:rPr>
  </w:style>
  <w:style w:type="character" w:styleId="Emphasis">
    <w:name w:val="Emphasis"/>
    <w:uiPriority w:val="20"/>
    <w:qFormat/>
    <w:rsid w:val="00155D40"/>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C0BCD"/>
    <w:pPr>
      <w:ind w:left="360" w:hanging="360"/>
    </w:pPr>
    <w:rPr>
      <w:rFonts w:ascii="Constantia" w:hAnsi="Constantia"/>
      <w:sz w:val="22"/>
      <w:szCs w:val="28"/>
      <w:lang w:eastAsia="zh-CN"/>
    </w:rPr>
  </w:style>
  <w:style w:type="paragraph" w:styleId="Heading1">
    <w:name w:val="heading 1"/>
    <w:basedOn w:val="Normal"/>
    <w:next w:val="Normal"/>
    <w:qFormat/>
    <w:pPr>
      <w:keepNext/>
      <w:spacing w:before="240" w:after="120"/>
      <w:outlineLvl w:val="0"/>
    </w:pPr>
    <w:rPr>
      <w:b/>
      <w:bC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qFormat/>
    <w:pPr>
      <w:jc w:val="center"/>
    </w:pPr>
    <w:rPr>
      <w:b/>
      <w:bCs/>
    </w:rPr>
  </w:style>
  <w:style w:type="paragraph" w:styleId="Subtitle">
    <w:name w:val="Subtitle"/>
    <w:basedOn w:val="Normal"/>
    <w:qFormat/>
    <w:rPr>
      <w:b/>
      <w:bCs/>
    </w:rPr>
  </w:style>
  <w:style w:type="paragraph" w:styleId="Footer">
    <w:name w:val="footer"/>
    <w:basedOn w:val="Normal"/>
    <w:rsid w:val="000611BF"/>
    <w:pPr>
      <w:tabs>
        <w:tab w:val="center" w:pos="4320"/>
        <w:tab w:val="right" w:pos="8640"/>
      </w:tabs>
    </w:pPr>
  </w:style>
  <w:style w:type="character" w:styleId="PageNumber">
    <w:name w:val="page number"/>
    <w:rsid w:val="000611BF"/>
    <w:rPr>
      <w:rFonts w:ascii="Dante MT Alt" w:hAnsi="Dante MT Alt"/>
    </w:rPr>
  </w:style>
  <w:style w:type="paragraph" w:styleId="Header">
    <w:name w:val="header"/>
    <w:basedOn w:val="Normal"/>
    <w:link w:val="HeaderChar"/>
    <w:uiPriority w:val="99"/>
    <w:rsid w:val="008D535D"/>
    <w:pPr>
      <w:tabs>
        <w:tab w:val="center" w:pos="4680"/>
        <w:tab w:val="right" w:pos="9360"/>
      </w:tabs>
    </w:pPr>
  </w:style>
  <w:style w:type="character" w:customStyle="1" w:styleId="HeaderChar">
    <w:name w:val="Header Char"/>
    <w:link w:val="Header"/>
    <w:uiPriority w:val="99"/>
    <w:rsid w:val="008D535D"/>
    <w:rPr>
      <w:rFonts w:ascii="Dante MT Alt" w:hAnsi="Dante MT Alt"/>
      <w:sz w:val="28"/>
      <w:szCs w:val="28"/>
      <w:lang w:eastAsia="zh-CN"/>
    </w:rPr>
  </w:style>
  <w:style w:type="paragraph" w:styleId="ListParagraph">
    <w:name w:val="List Paragraph"/>
    <w:basedOn w:val="Normal"/>
    <w:uiPriority w:val="34"/>
    <w:qFormat/>
    <w:rsid w:val="003363A3"/>
    <w:pPr>
      <w:ind w:left="720" w:firstLine="0"/>
    </w:pPr>
    <w:rPr>
      <w:rFonts w:ascii="Times New Roman" w:eastAsia="Malgun Gothic" w:hAnsi="Times New Roman"/>
      <w:sz w:val="24"/>
      <w:szCs w:val="24"/>
      <w:lang w:eastAsia="ko-KR"/>
    </w:rPr>
  </w:style>
  <w:style w:type="paragraph" w:styleId="BalloonText">
    <w:name w:val="Balloon Text"/>
    <w:basedOn w:val="Normal"/>
    <w:link w:val="BalloonTextChar"/>
    <w:rsid w:val="001F7CA2"/>
    <w:rPr>
      <w:rFonts w:ascii="Tahoma" w:hAnsi="Tahoma" w:cs="Tahoma"/>
      <w:sz w:val="16"/>
      <w:szCs w:val="16"/>
    </w:rPr>
  </w:style>
  <w:style w:type="character" w:customStyle="1" w:styleId="BalloonTextChar">
    <w:name w:val="Balloon Text Char"/>
    <w:link w:val="BalloonText"/>
    <w:rsid w:val="001F7CA2"/>
    <w:rPr>
      <w:rFonts w:ascii="Tahoma" w:hAnsi="Tahoma" w:cs="Tahoma"/>
      <w:sz w:val="16"/>
      <w:szCs w:val="16"/>
      <w:lang w:eastAsia="zh-CN"/>
    </w:rPr>
  </w:style>
  <w:style w:type="paragraph" w:styleId="FootnoteText">
    <w:name w:val="footnote text"/>
    <w:basedOn w:val="Normal"/>
    <w:link w:val="FootnoteTextChar"/>
    <w:rsid w:val="003E7267"/>
    <w:rPr>
      <w:sz w:val="20"/>
      <w:szCs w:val="20"/>
    </w:rPr>
  </w:style>
  <w:style w:type="character" w:customStyle="1" w:styleId="FootnoteTextChar">
    <w:name w:val="Footnote Text Char"/>
    <w:link w:val="FootnoteText"/>
    <w:rsid w:val="003E7267"/>
    <w:rPr>
      <w:rFonts w:ascii="Constantia" w:hAnsi="Constantia"/>
      <w:lang w:eastAsia="zh-CN"/>
    </w:rPr>
  </w:style>
  <w:style w:type="character" w:styleId="FootnoteReference">
    <w:name w:val="footnote reference"/>
    <w:rsid w:val="003E7267"/>
    <w:rPr>
      <w:vertAlign w:val="superscript"/>
    </w:rPr>
  </w:style>
  <w:style w:type="character" w:styleId="Emphasis">
    <w:name w:val="Emphasis"/>
    <w:uiPriority w:val="20"/>
    <w:qFormat/>
    <w:rsid w:val="00155D4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231824">
      <w:bodyDiv w:val="1"/>
      <w:marLeft w:val="0"/>
      <w:marRight w:val="0"/>
      <w:marTop w:val="0"/>
      <w:marBottom w:val="0"/>
      <w:divBdr>
        <w:top w:val="none" w:sz="0" w:space="0" w:color="auto"/>
        <w:left w:val="none" w:sz="0" w:space="0" w:color="auto"/>
        <w:bottom w:val="none" w:sz="0" w:space="0" w:color="auto"/>
        <w:right w:val="none" w:sz="0" w:space="0" w:color="auto"/>
      </w:divBdr>
    </w:div>
    <w:div w:id="364409243">
      <w:bodyDiv w:val="1"/>
      <w:marLeft w:val="0"/>
      <w:marRight w:val="0"/>
      <w:marTop w:val="0"/>
      <w:marBottom w:val="0"/>
      <w:divBdr>
        <w:top w:val="none" w:sz="0" w:space="0" w:color="auto"/>
        <w:left w:val="none" w:sz="0" w:space="0" w:color="auto"/>
        <w:bottom w:val="none" w:sz="0" w:space="0" w:color="auto"/>
        <w:right w:val="none" w:sz="0" w:space="0" w:color="auto"/>
      </w:divBdr>
    </w:div>
    <w:div w:id="505558099">
      <w:bodyDiv w:val="1"/>
      <w:marLeft w:val="0"/>
      <w:marRight w:val="0"/>
      <w:marTop w:val="0"/>
      <w:marBottom w:val="0"/>
      <w:divBdr>
        <w:top w:val="none" w:sz="0" w:space="0" w:color="auto"/>
        <w:left w:val="none" w:sz="0" w:space="0" w:color="auto"/>
        <w:bottom w:val="none" w:sz="0" w:space="0" w:color="auto"/>
        <w:right w:val="none" w:sz="0" w:space="0" w:color="auto"/>
      </w:divBdr>
    </w:div>
    <w:div w:id="548302324">
      <w:bodyDiv w:val="1"/>
      <w:marLeft w:val="0"/>
      <w:marRight w:val="0"/>
      <w:marTop w:val="0"/>
      <w:marBottom w:val="0"/>
      <w:divBdr>
        <w:top w:val="none" w:sz="0" w:space="0" w:color="auto"/>
        <w:left w:val="none" w:sz="0" w:space="0" w:color="auto"/>
        <w:bottom w:val="none" w:sz="0" w:space="0" w:color="auto"/>
        <w:right w:val="none" w:sz="0" w:space="0" w:color="auto"/>
      </w:divBdr>
    </w:div>
    <w:div w:id="627659890">
      <w:bodyDiv w:val="1"/>
      <w:marLeft w:val="0"/>
      <w:marRight w:val="0"/>
      <w:marTop w:val="0"/>
      <w:marBottom w:val="0"/>
      <w:divBdr>
        <w:top w:val="none" w:sz="0" w:space="0" w:color="auto"/>
        <w:left w:val="none" w:sz="0" w:space="0" w:color="auto"/>
        <w:bottom w:val="none" w:sz="0" w:space="0" w:color="auto"/>
        <w:right w:val="none" w:sz="0" w:space="0" w:color="auto"/>
      </w:divBdr>
    </w:div>
    <w:div w:id="692459599">
      <w:bodyDiv w:val="1"/>
      <w:marLeft w:val="0"/>
      <w:marRight w:val="0"/>
      <w:marTop w:val="0"/>
      <w:marBottom w:val="0"/>
      <w:divBdr>
        <w:top w:val="none" w:sz="0" w:space="0" w:color="auto"/>
        <w:left w:val="none" w:sz="0" w:space="0" w:color="auto"/>
        <w:bottom w:val="none" w:sz="0" w:space="0" w:color="auto"/>
        <w:right w:val="none" w:sz="0" w:space="0" w:color="auto"/>
      </w:divBdr>
    </w:div>
    <w:div w:id="892427414">
      <w:bodyDiv w:val="1"/>
      <w:marLeft w:val="0"/>
      <w:marRight w:val="0"/>
      <w:marTop w:val="0"/>
      <w:marBottom w:val="0"/>
      <w:divBdr>
        <w:top w:val="none" w:sz="0" w:space="0" w:color="auto"/>
        <w:left w:val="none" w:sz="0" w:space="0" w:color="auto"/>
        <w:bottom w:val="none" w:sz="0" w:space="0" w:color="auto"/>
        <w:right w:val="none" w:sz="0" w:space="0" w:color="auto"/>
      </w:divBdr>
    </w:div>
    <w:div w:id="968705060">
      <w:bodyDiv w:val="1"/>
      <w:marLeft w:val="0"/>
      <w:marRight w:val="0"/>
      <w:marTop w:val="0"/>
      <w:marBottom w:val="0"/>
      <w:divBdr>
        <w:top w:val="none" w:sz="0" w:space="0" w:color="auto"/>
        <w:left w:val="none" w:sz="0" w:space="0" w:color="auto"/>
        <w:bottom w:val="none" w:sz="0" w:space="0" w:color="auto"/>
        <w:right w:val="none" w:sz="0" w:space="0" w:color="auto"/>
      </w:divBdr>
    </w:div>
    <w:div w:id="1234895117">
      <w:bodyDiv w:val="1"/>
      <w:marLeft w:val="0"/>
      <w:marRight w:val="0"/>
      <w:marTop w:val="0"/>
      <w:marBottom w:val="0"/>
      <w:divBdr>
        <w:top w:val="none" w:sz="0" w:space="0" w:color="auto"/>
        <w:left w:val="none" w:sz="0" w:space="0" w:color="auto"/>
        <w:bottom w:val="none" w:sz="0" w:space="0" w:color="auto"/>
        <w:right w:val="none" w:sz="0" w:space="0" w:color="auto"/>
      </w:divBdr>
    </w:div>
    <w:div w:id="1354648042">
      <w:bodyDiv w:val="1"/>
      <w:marLeft w:val="0"/>
      <w:marRight w:val="0"/>
      <w:marTop w:val="0"/>
      <w:marBottom w:val="0"/>
      <w:divBdr>
        <w:top w:val="none" w:sz="0" w:space="0" w:color="auto"/>
        <w:left w:val="none" w:sz="0" w:space="0" w:color="auto"/>
        <w:bottom w:val="none" w:sz="0" w:space="0" w:color="auto"/>
        <w:right w:val="none" w:sz="0" w:space="0" w:color="auto"/>
      </w:divBdr>
    </w:div>
    <w:div w:id="1749112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kip%20Nicholson\Application%20Data\Microsoft\Templates\AP%20Handout%2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F42278-7AAE-4B71-A198-0C8C0943B7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AP Handout 1.dot</Template>
  <TotalTime>1</TotalTime>
  <Pages>1</Pages>
  <Words>799</Words>
  <Characters>4556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RUBRIC SCORING</vt:lpstr>
    </vt:vector>
  </TitlesOfParts>
  <Company>Personal Computer</Company>
  <LinksUpToDate>false</LinksUpToDate>
  <CharactersWithSpaces>5345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RUBRIC SCORING</dc:title>
  <dc:creator>Skip Nicholson</dc:creator>
  <cp:lastModifiedBy>Skip Nicholson</cp:lastModifiedBy>
  <cp:revision>3</cp:revision>
  <cp:lastPrinted>2009-06-28T20:35:00Z</cp:lastPrinted>
  <dcterms:created xsi:type="dcterms:W3CDTF">2013-06-04T01:31:00Z</dcterms:created>
  <dcterms:modified xsi:type="dcterms:W3CDTF">2013-06-04T01:32:00Z</dcterms:modified>
</cp:coreProperties>
</file>